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4A" w:rsidRDefault="001B6DA3">
      <w:hyperlink r:id="rId5" w:history="1">
        <w:r w:rsidRPr="00E94204">
          <w:rPr>
            <w:rStyle w:val="Hyperlink"/>
          </w:rPr>
          <w:t>http://teachinghistory.org/best-practices/examples-of-historical-thinking/24424</w:t>
        </w:r>
      </w:hyperlink>
    </w:p>
    <w:p w:rsidR="001B6DA3" w:rsidRDefault="001B6DA3">
      <w:bookmarkStart w:id="0" w:name="_GoBack"/>
      <w:bookmarkEnd w:id="0"/>
    </w:p>
    <w:sectPr w:rsidR="001B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3"/>
    <w:rsid w:val="001B6DA3"/>
    <w:rsid w:val="003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achinghistory.org/best-practices/examples-of-historical-thinking/24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2015-01-28T18:00:00Z</dcterms:created>
  <dcterms:modified xsi:type="dcterms:W3CDTF">2015-01-28T18:02:00Z</dcterms:modified>
</cp:coreProperties>
</file>